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C6EC" w14:textId="77777777" w:rsidR="00E2114F" w:rsidRDefault="00E2114F" w:rsidP="00E2114F">
      <w:pPr>
        <w:spacing w:line="360" w:lineRule="auto"/>
        <w:rPr>
          <w:rFonts w:ascii="仿宋" w:eastAsia="仿宋" w:hAnsi="仿宋" w:cs="仿宋" w:hint="eastAsia"/>
          <w:color w:val="000000"/>
          <w:sz w:val="32"/>
          <w:szCs w:val="32"/>
        </w:rPr>
      </w:pPr>
      <w:r>
        <w:rPr>
          <w:rFonts w:ascii="仿宋" w:eastAsia="仿宋" w:hAnsi="仿宋" w:cs="仿宋" w:hint="eastAsia"/>
          <w:color w:val="000000"/>
          <w:sz w:val="32"/>
          <w:szCs w:val="32"/>
        </w:rPr>
        <w:t>附件二</w:t>
      </w:r>
    </w:p>
    <w:p w14:paraId="7C223023" w14:textId="77777777" w:rsidR="00E2114F" w:rsidRDefault="00E2114F" w:rsidP="00E2114F">
      <w:pPr>
        <w:spacing w:line="360" w:lineRule="auto"/>
        <w:ind w:firstLineChars="600" w:firstLine="1920"/>
        <w:rPr>
          <w:rFonts w:ascii="仿宋" w:eastAsia="仿宋" w:hAnsi="仿宋" w:cs="仿宋" w:hint="eastAsia"/>
          <w:sz w:val="32"/>
          <w:szCs w:val="32"/>
        </w:rPr>
      </w:pPr>
      <w:r>
        <w:rPr>
          <w:rFonts w:ascii="仿宋" w:eastAsia="仿宋" w:hAnsi="仿宋" w:cs="仿宋" w:hint="eastAsia"/>
          <w:color w:val="000000"/>
          <w:sz w:val="32"/>
          <w:szCs w:val="32"/>
        </w:rPr>
        <w:t>大数据医保运行管理决策支持软件</w:t>
      </w:r>
    </w:p>
    <w:p w14:paraId="469D97D7" w14:textId="77777777" w:rsidR="00E2114F" w:rsidRDefault="00E2114F" w:rsidP="00E2114F">
      <w:pPr>
        <w:rPr>
          <w:rFonts w:ascii="仿宋" w:eastAsia="仿宋" w:hAnsi="仿宋" w:cs="仿宋" w:hint="eastAsia"/>
          <w:sz w:val="24"/>
        </w:rPr>
      </w:pPr>
    </w:p>
    <w:tbl>
      <w:tblPr>
        <w:tblStyle w:val="af5"/>
        <w:tblW w:w="9620" w:type="dxa"/>
        <w:tblLayout w:type="fixed"/>
        <w:tblLook w:val="04A0" w:firstRow="1" w:lastRow="0" w:firstColumn="1" w:lastColumn="0" w:noHBand="0" w:noVBand="1"/>
      </w:tblPr>
      <w:tblGrid>
        <w:gridCol w:w="1016"/>
        <w:gridCol w:w="8604"/>
      </w:tblGrid>
      <w:tr w:rsidR="00E2114F" w14:paraId="1D66DBEF" w14:textId="77777777" w:rsidTr="009C7F53">
        <w:trPr>
          <w:trHeight w:val="463"/>
        </w:trPr>
        <w:tc>
          <w:tcPr>
            <w:tcW w:w="9620" w:type="dxa"/>
            <w:gridSpan w:val="2"/>
            <w:vAlign w:val="center"/>
          </w:tcPr>
          <w:p w14:paraId="26D6E6F4" w14:textId="77777777" w:rsidR="00E2114F" w:rsidRDefault="00E2114F" w:rsidP="009C7F53">
            <w:pPr>
              <w:pStyle w:val="af2"/>
              <w:spacing w:before="0" w:beforeAutospacing="0" w:after="0" w:afterAutospacing="0" w:line="360" w:lineRule="auto"/>
              <w:jc w:val="center"/>
              <w:rPr>
                <w:rFonts w:ascii="仿宋" w:eastAsia="仿宋" w:hAnsi="仿宋" w:cs="仿宋" w:hint="eastAsia"/>
              </w:rPr>
            </w:pPr>
            <w:r>
              <w:rPr>
                <w:rFonts w:ascii="仿宋" w:eastAsia="仿宋" w:hAnsi="仿宋" w:cs="仿宋" w:hint="eastAsia"/>
              </w:rPr>
              <w:t>技术要求</w:t>
            </w:r>
          </w:p>
        </w:tc>
      </w:tr>
      <w:tr w:rsidR="00E2114F" w14:paraId="041DD0C1" w14:textId="77777777" w:rsidTr="009C7F53">
        <w:trPr>
          <w:trHeight w:val="1823"/>
        </w:trPr>
        <w:tc>
          <w:tcPr>
            <w:tcW w:w="1016" w:type="dxa"/>
            <w:vAlign w:val="center"/>
          </w:tcPr>
          <w:p w14:paraId="0E1029A2"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1D19DC1C"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（1）数据载入服务：包含数据的加载，数据的导入，数据的录入等。具体要求如下：对数据传输、处理进行检验、核对和纠错；支持自动接收医院提供的</w:t>
            </w:r>
            <w:proofErr w:type="spellStart"/>
            <w:r>
              <w:rPr>
                <w:rFonts w:ascii="仿宋" w:eastAsia="仿宋" w:hAnsi="仿宋" w:cs="仿宋" w:hint="eastAsia"/>
                <w:color w:val="000000"/>
                <w:sz w:val="24"/>
              </w:rPr>
              <w:t>dbf</w:t>
            </w:r>
            <w:proofErr w:type="spellEnd"/>
            <w:r>
              <w:rPr>
                <w:rFonts w:ascii="仿宋" w:eastAsia="仿宋" w:hAnsi="仿宋" w:cs="仿宋" w:hint="eastAsia"/>
                <w:color w:val="000000"/>
                <w:sz w:val="24"/>
              </w:rPr>
              <w:t>或者excel等格式数据；</w:t>
            </w:r>
          </w:p>
        </w:tc>
      </w:tr>
      <w:tr w:rsidR="00E2114F" w14:paraId="22CA4169" w14:textId="77777777" w:rsidTr="009C7F53">
        <w:trPr>
          <w:trHeight w:val="5900"/>
        </w:trPr>
        <w:tc>
          <w:tcPr>
            <w:tcW w:w="1016" w:type="dxa"/>
            <w:vAlign w:val="center"/>
          </w:tcPr>
          <w:p w14:paraId="06DE2088"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1292BF86"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算法知识库管理：从疾病诊治规范、医疗质量控制、医疗能级效率、卫生资源利用、卫生经济学价值等进行综合评估，针对临床诊疗事件的个性化不确定性，提出基于条件概率的评价指标和知识点的应用方法，利用因子分析算法（FA算法）将条件概率作为衡量诊疗过程和结果之间关联程度的标准，并将关联性达到一定程度的评价指标和知识点进行汇聚成群，根据诊疗过程不同类型的问题对应相关评价指标群用不同的知识点进行多维度智能分析。需包含床日效率，能级效率评价，医疗费用控制，医疗收入结构，病种编码库，需识别核心病组，综合病组，基层病种，床日病种等类别、病种组合目录，病种组合分类模型等。对以上模型进行相应的指标配置，预警值的确认，阀值的确认，单位的管理，评价主体与指标的对应关系维护等。</w:t>
            </w:r>
          </w:p>
        </w:tc>
      </w:tr>
      <w:tr w:rsidR="00E2114F" w14:paraId="3B585F9B" w14:textId="77777777" w:rsidTr="009C7F53">
        <w:trPr>
          <w:trHeight w:val="1369"/>
        </w:trPr>
        <w:tc>
          <w:tcPr>
            <w:tcW w:w="1016" w:type="dxa"/>
            <w:vAlign w:val="center"/>
          </w:tcPr>
          <w:p w14:paraId="443C28CB"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52F5D0CE"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（3）建立病种目录库服务:提供自动化入库功能；支持自动处理入组目录；提供分析汇总入库数据功能；提供生成医院专属病种目录库服务。</w:t>
            </w:r>
          </w:p>
        </w:tc>
      </w:tr>
      <w:tr w:rsidR="00E2114F" w14:paraId="6B7CAD06" w14:textId="77777777" w:rsidTr="009C7F53">
        <w:trPr>
          <w:trHeight w:val="916"/>
        </w:trPr>
        <w:tc>
          <w:tcPr>
            <w:tcW w:w="1016" w:type="dxa"/>
            <w:vAlign w:val="center"/>
          </w:tcPr>
          <w:p w14:paraId="48587EF2"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060AE841"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（4）RW加权测算服务：依据医保规则提供基于“例数的</w:t>
            </w:r>
            <w:proofErr w:type="spellStart"/>
            <w:r>
              <w:rPr>
                <w:rFonts w:ascii="仿宋" w:eastAsia="仿宋" w:hAnsi="仿宋" w:cs="仿宋" w:hint="eastAsia"/>
                <w:color w:val="000000"/>
                <w:sz w:val="24"/>
              </w:rPr>
              <w:t>rw</w:t>
            </w:r>
            <w:proofErr w:type="spellEnd"/>
            <w:r>
              <w:rPr>
                <w:rFonts w:ascii="仿宋" w:eastAsia="仿宋" w:hAnsi="仿宋" w:cs="仿宋" w:hint="eastAsia"/>
                <w:color w:val="000000"/>
                <w:sz w:val="24"/>
              </w:rPr>
              <w:t>加权”提供测算服务。</w:t>
            </w:r>
          </w:p>
        </w:tc>
      </w:tr>
      <w:tr w:rsidR="00E2114F" w14:paraId="6F304046" w14:textId="77777777" w:rsidTr="009C7F53">
        <w:trPr>
          <w:trHeight w:val="1369"/>
        </w:trPr>
        <w:tc>
          <w:tcPr>
            <w:tcW w:w="1016" w:type="dxa"/>
            <w:vAlign w:val="center"/>
          </w:tcPr>
          <w:p w14:paraId="2906ADDA"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0048429D"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（5）指标库服务:根据医院运营管理，建立能级、效率、医保、收入等各个维度指标，并建立指标库，指标库指标不得少于50个；</w:t>
            </w:r>
          </w:p>
        </w:tc>
      </w:tr>
      <w:tr w:rsidR="00E2114F" w14:paraId="1F159109" w14:textId="77777777" w:rsidTr="009C7F53">
        <w:trPr>
          <w:trHeight w:val="555"/>
        </w:trPr>
        <w:tc>
          <w:tcPr>
            <w:tcW w:w="1016" w:type="dxa"/>
            <w:vAlign w:val="center"/>
          </w:tcPr>
          <w:p w14:paraId="291EA2F6"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175E7E07"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（6）基础数据维护服务: 能维护以及配置系统基础信息、疾病严重程度辅助目录配置、行为监管辅助目录配置、基层病种目录配置等。</w:t>
            </w:r>
          </w:p>
        </w:tc>
      </w:tr>
      <w:tr w:rsidR="00E2114F" w14:paraId="593DCF81" w14:textId="77777777" w:rsidTr="009C7F53">
        <w:trPr>
          <w:trHeight w:val="2729"/>
        </w:trPr>
        <w:tc>
          <w:tcPr>
            <w:tcW w:w="1016" w:type="dxa"/>
            <w:vAlign w:val="center"/>
          </w:tcPr>
          <w:p w14:paraId="1969CC7B"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0AD645BB"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7）用户管理:提供用户账户统一管理功能，基于md5与秘钥的方式进行混合加密保护用户账户安全、用户信息维护。提供动态维护用户信息功能,从而确保用户信息准确性有效性。科室部门日常维护功能，确保科室信息及时更新。科室权限日常维护功能，保证各科室部门信息的敏感性及安全性。</w:t>
            </w:r>
          </w:p>
        </w:tc>
      </w:tr>
      <w:tr w:rsidR="00E2114F" w14:paraId="7B548570" w14:textId="77777777" w:rsidTr="009C7F53">
        <w:trPr>
          <w:trHeight w:val="1823"/>
        </w:trPr>
        <w:tc>
          <w:tcPr>
            <w:tcW w:w="1016" w:type="dxa"/>
            <w:vAlign w:val="center"/>
          </w:tcPr>
          <w:p w14:paraId="334E6706"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61D31EE1"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（8）权限管理:提供设置访问权限功能，具体包含用户权限，按钮权限，模块权限、字段权限等。内部数据查询应对不同的人员设定不同的权限级别，每个角色只能查询与角色权限相关的数据；</w:t>
            </w:r>
          </w:p>
        </w:tc>
      </w:tr>
      <w:tr w:rsidR="00E2114F" w14:paraId="1D6406F3" w14:textId="77777777" w:rsidTr="009C7F53">
        <w:trPr>
          <w:trHeight w:val="1823"/>
        </w:trPr>
        <w:tc>
          <w:tcPr>
            <w:tcW w:w="1016" w:type="dxa"/>
            <w:vAlign w:val="center"/>
          </w:tcPr>
          <w:p w14:paraId="74900282"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53BD39EC"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9）日志管理:提供用户登录行为记录与分析与操作分析。要求能在用户每一步的操作都预埋节点，全方面保障系统安全与信息安全。提供在日志中记录用户行为的功能。提供生成用户行为数据，并分析展示用户行为数据功能。</w:t>
            </w:r>
          </w:p>
        </w:tc>
      </w:tr>
      <w:tr w:rsidR="00E2114F" w14:paraId="640AF9D8" w14:textId="77777777" w:rsidTr="009C7F53">
        <w:trPr>
          <w:trHeight w:val="1369"/>
        </w:trPr>
        <w:tc>
          <w:tcPr>
            <w:tcW w:w="1016" w:type="dxa"/>
            <w:vAlign w:val="center"/>
          </w:tcPr>
          <w:p w14:paraId="216B678E"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30706CCE"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（10）统计报表服务:提供报表统计功能。支持自定义格式（可自定义选择报表展示内容、以及相关字段，根据实际情况选择最方便的导出方式等）。</w:t>
            </w:r>
          </w:p>
        </w:tc>
      </w:tr>
      <w:tr w:rsidR="00E2114F" w14:paraId="03B3C8F9" w14:textId="77777777" w:rsidTr="009C7F53">
        <w:trPr>
          <w:trHeight w:val="463"/>
        </w:trPr>
        <w:tc>
          <w:tcPr>
            <w:tcW w:w="1016" w:type="dxa"/>
            <w:vAlign w:val="center"/>
          </w:tcPr>
          <w:p w14:paraId="141FB999"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201FEC2A"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事前提醒数据服务</w:t>
            </w:r>
          </w:p>
        </w:tc>
      </w:tr>
      <w:tr w:rsidR="00E2114F" w14:paraId="7E2A47CB" w14:textId="77777777" w:rsidTr="009C7F53">
        <w:trPr>
          <w:trHeight w:val="916"/>
        </w:trPr>
        <w:tc>
          <w:tcPr>
            <w:tcW w:w="1016" w:type="dxa"/>
            <w:vAlign w:val="center"/>
          </w:tcPr>
          <w:p w14:paraId="2331B766"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45558DB6"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（11）数据服务满足多种场景下的控费智能提醒需要。如保存诊断，保存医嘱，保存出院诊断，结算清单提交前等。</w:t>
            </w:r>
          </w:p>
        </w:tc>
      </w:tr>
      <w:tr w:rsidR="00E2114F" w14:paraId="3D2E81D3" w14:textId="77777777" w:rsidTr="009C7F53">
        <w:trPr>
          <w:trHeight w:val="1369"/>
        </w:trPr>
        <w:tc>
          <w:tcPr>
            <w:tcW w:w="1016" w:type="dxa"/>
            <w:vAlign w:val="center"/>
          </w:tcPr>
          <w:p w14:paraId="37113E4B"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2B8F8D5A"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（12）进行基于当前病例的费用矫正属性分析，包含参保类型，病种类型（核心，综合，基层，床日），疾病严重程度分型，肿瘤严重程度分型，年龄段个性化特征等。</w:t>
            </w:r>
          </w:p>
        </w:tc>
      </w:tr>
      <w:tr w:rsidR="00E2114F" w14:paraId="4696BC2B" w14:textId="77777777" w:rsidTr="009C7F53">
        <w:trPr>
          <w:trHeight w:val="1369"/>
        </w:trPr>
        <w:tc>
          <w:tcPr>
            <w:tcW w:w="1016" w:type="dxa"/>
            <w:vAlign w:val="center"/>
          </w:tcPr>
          <w:p w14:paraId="3C37441C"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2F3CB273"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（13）数据支持当前分组详情：入组信息包含病组编码，病组名称，主要诊断及编码，次要诊断及编码，治疗方式名称及编码等。</w:t>
            </w:r>
          </w:p>
        </w:tc>
      </w:tr>
      <w:tr w:rsidR="00E2114F" w14:paraId="3C56005C" w14:textId="77777777" w:rsidTr="009C7F53">
        <w:trPr>
          <w:trHeight w:val="463"/>
        </w:trPr>
        <w:tc>
          <w:tcPr>
            <w:tcW w:w="1016" w:type="dxa"/>
            <w:vAlign w:val="center"/>
          </w:tcPr>
          <w:p w14:paraId="1FBDA806"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49E39EF5"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（14）病案分析：对当前病例进行支用比、矫正分值、校正系数、该病例对应病组的支付率，以及机构等级系数分析和展示等。</w:t>
            </w:r>
          </w:p>
        </w:tc>
      </w:tr>
      <w:tr w:rsidR="00E2114F" w14:paraId="63979792" w14:textId="77777777" w:rsidTr="009C7F53">
        <w:trPr>
          <w:trHeight w:val="1369"/>
        </w:trPr>
        <w:tc>
          <w:tcPr>
            <w:tcW w:w="1016" w:type="dxa"/>
            <w:vAlign w:val="center"/>
          </w:tcPr>
          <w:p w14:paraId="4A589DB7"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lastRenderedPageBreak/>
              <w:t>★</w:t>
            </w:r>
          </w:p>
        </w:tc>
        <w:tc>
          <w:tcPr>
            <w:tcW w:w="8604" w:type="dxa"/>
            <w:vAlign w:val="center"/>
          </w:tcPr>
          <w:p w14:paraId="44A75C95"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（15）总费用计算和分析：实时分析展示病例当前总费用，以及基于医保支付标准的支用比，直观展示当前总费用基于标准费用的是否超标评价。</w:t>
            </w:r>
          </w:p>
        </w:tc>
      </w:tr>
      <w:tr w:rsidR="00E2114F" w14:paraId="564AF6F4" w14:textId="77777777" w:rsidTr="009C7F53">
        <w:trPr>
          <w:trHeight w:val="2276"/>
        </w:trPr>
        <w:tc>
          <w:tcPr>
            <w:tcW w:w="1016" w:type="dxa"/>
            <w:vAlign w:val="center"/>
          </w:tcPr>
          <w:p w14:paraId="499E94E7"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63C34C17"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16）采购性费用结构盈亏数据分析：实时分析药品、耗材当前总费用，结构占比。同时，将当前病例、对应的医院病种和标准病种放在同一个维度进行费用对比，从住院日、总费用、药品总费用、耗材总费用、检查检验、其他费用等进行对比分析。</w:t>
            </w:r>
          </w:p>
        </w:tc>
      </w:tr>
      <w:tr w:rsidR="00E2114F" w14:paraId="4DFA8C85" w14:textId="77777777" w:rsidTr="009C7F53">
        <w:trPr>
          <w:trHeight w:val="1369"/>
        </w:trPr>
        <w:tc>
          <w:tcPr>
            <w:tcW w:w="1016" w:type="dxa"/>
            <w:vAlign w:val="center"/>
          </w:tcPr>
          <w:p w14:paraId="14F0DE5D"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778F4297"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（17）相关组的分析：基于同一诊断查看所有相关病组信息。包含病组分值、病组平均住院日、病组预算支付标准、病组编码、以及病组名称等。</w:t>
            </w:r>
          </w:p>
        </w:tc>
      </w:tr>
      <w:tr w:rsidR="00E2114F" w14:paraId="15049D73" w14:textId="77777777" w:rsidTr="009C7F53">
        <w:trPr>
          <w:trHeight w:val="463"/>
        </w:trPr>
        <w:tc>
          <w:tcPr>
            <w:tcW w:w="1016" w:type="dxa"/>
            <w:vAlign w:val="center"/>
          </w:tcPr>
          <w:p w14:paraId="1FEDB94A"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7DE9FFBB"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事中控制数据服务</w:t>
            </w:r>
          </w:p>
        </w:tc>
      </w:tr>
      <w:tr w:rsidR="00E2114F" w14:paraId="5B066BB1" w14:textId="77777777" w:rsidTr="009C7F53">
        <w:trPr>
          <w:trHeight w:val="1369"/>
        </w:trPr>
        <w:tc>
          <w:tcPr>
            <w:tcW w:w="1016" w:type="dxa"/>
            <w:vAlign w:val="center"/>
          </w:tcPr>
          <w:p w14:paraId="6D1909A2"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74938947"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（18）事中医保费用提醒数据服务：在费用发生前和发生后，通过医保知识库的医保规则运算，给予医生数据提醒服务，预防违规数据发生。</w:t>
            </w:r>
          </w:p>
        </w:tc>
      </w:tr>
      <w:tr w:rsidR="00E2114F" w14:paraId="028331C6" w14:textId="77777777" w:rsidTr="009C7F53">
        <w:trPr>
          <w:trHeight w:val="3182"/>
        </w:trPr>
        <w:tc>
          <w:tcPr>
            <w:tcW w:w="1016" w:type="dxa"/>
            <w:vAlign w:val="center"/>
          </w:tcPr>
          <w:p w14:paraId="205E4BBB"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5C8C0406"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19）事中控费分析：根据基金类型对在院病例进行医保支付盈亏的预分析，能根据区域内病种分值和费用标准，对住院病人的过程费用进行实时提醒。按照标准费用，提供实时费用使用情况监测。以及将病例对标对应的病组基于累计出院患者的相关医保支付数据盈亏分析，从病组角度整体分析该病例的后续控费空间。需要分析到药偏、耗偏和检查检验费用，超标的病人数，超标费用等。</w:t>
            </w:r>
          </w:p>
        </w:tc>
      </w:tr>
      <w:tr w:rsidR="00E2114F" w14:paraId="1C8ED89F" w14:textId="77777777" w:rsidTr="009C7F53">
        <w:trPr>
          <w:trHeight w:val="2276"/>
        </w:trPr>
        <w:tc>
          <w:tcPr>
            <w:tcW w:w="1016" w:type="dxa"/>
            <w:vAlign w:val="center"/>
          </w:tcPr>
          <w:p w14:paraId="7E19395D"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28BAAD15"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20）出院病人的数据分析：基于医保费用计算规则和标准，对出院病人进行各维度分析，如基金类型、病种类型下的医疗总费用、统筹基金、初始支付率、医保结余、平均住院日、次均费用和实际补偿比等。从费用结构角度，如药品、耗材和检查检验等分析，利用大数据控费指标（指偏、药偏和耗偏）进行费用控制提醒。</w:t>
            </w:r>
          </w:p>
        </w:tc>
      </w:tr>
      <w:tr w:rsidR="00E2114F" w14:paraId="0F95D65A" w14:textId="77777777" w:rsidTr="009C7F53">
        <w:trPr>
          <w:trHeight w:val="2729"/>
        </w:trPr>
        <w:tc>
          <w:tcPr>
            <w:tcW w:w="1016" w:type="dxa"/>
            <w:vAlign w:val="center"/>
          </w:tcPr>
          <w:p w14:paraId="2F190502"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lastRenderedPageBreak/>
              <w:t>★</w:t>
            </w:r>
          </w:p>
        </w:tc>
        <w:tc>
          <w:tcPr>
            <w:tcW w:w="8604" w:type="dxa"/>
            <w:vAlign w:val="center"/>
          </w:tcPr>
          <w:p w14:paraId="6DE1EEDF"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21）事中管理颗粒度分析：从医保专管员角度，科主任角度，单个医生角度，单个病组角度，进行支付盈亏的数据预分析。从累计出院医保数据角度，以及在院医保病例的角度进行支付盈亏预分析，并支持对相关费用数据分解到要药品，耗材，检验检查等费用结构，并基于结构项进行超标费用的分析以及展示。</w:t>
            </w:r>
          </w:p>
        </w:tc>
      </w:tr>
      <w:tr w:rsidR="00E2114F" w14:paraId="6EB6000E" w14:textId="77777777" w:rsidTr="009C7F53">
        <w:trPr>
          <w:trHeight w:val="1369"/>
        </w:trPr>
        <w:tc>
          <w:tcPr>
            <w:tcW w:w="1016" w:type="dxa"/>
            <w:vAlign w:val="center"/>
          </w:tcPr>
          <w:p w14:paraId="024CFF8F"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5EF4C1A7"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（22）支付方式类型标识服务：通过计算和分析对在院患者的医保报销类型进行标识，为明确患者的支付类型提供支持。</w:t>
            </w:r>
          </w:p>
        </w:tc>
      </w:tr>
      <w:tr w:rsidR="00E2114F" w14:paraId="66854256" w14:textId="77777777" w:rsidTr="009C7F53">
        <w:trPr>
          <w:trHeight w:val="1369"/>
        </w:trPr>
        <w:tc>
          <w:tcPr>
            <w:tcW w:w="1016" w:type="dxa"/>
            <w:vAlign w:val="center"/>
          </w:tcPr>
          <w:p w14:paraId="572D0881"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75AC1A98"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（23）病种类型标识服务：对住院患者当前归入的病组属于核心病种，综合病组，基层病组等等角度进行相关标识提供支持。</w:t>
            </w:r>
          </w:p>
        </w:tc>
      </w:tr>
      <w:tr w:rsidR="00E2114F" w14:paraId="34ADD69F" w14:textId="77777777" w:rsidTr="009C7F53">
        <w:trPr>
          <w:trHeight w:val="1369"/>
        </w:trPr>
        <w:tc>
          <w:tcPr>
            <w:tcW w:w="1016" w:type="dxa"/>
            <w:vAlign w:val="center"/>
          </w:tcPr>
          <w:p w14:paraId="214EC6AB"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66285766"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（24）辅助目录病例标识数据分析：通过模型计算，对影响病例后期医保支付水平的触碰的辅助目录进行标识。比如疾病严重程度，肿瘤分型，疾病严重程度，年龄等。</w:t>
            </w:r>
          </w:p>
        </w:tc>
      </w:tr>
      <w:tr w:rsidR="00E2114F" w14:paraId="1A0B3BFD" w14:textId="77777777" w:rsidTr="009C7F53">
        <w:trPr>
          <w:trHeight w:val="2276"/>
        </w:trPr>
        <w:tc>
          <w:tcPr>
            <w:tcW w:w="1016" w:type="dxa"/>
            <w:vAlign w:val="center"/>
          </w:tcPr>
          <w:p w14:paraId="0C0F6130"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45103698"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25）偏差病例标识数据分析：基于往期医保支付标准，通过数据分析将费用极高病例，以及费用极低病例以打标识的方法进行醒目展示，提醒用户关注当前病例的费用异常。同时对偏差病例进行实时的费用结构分析。将总体费用的偏差定位到具体的药品，耗材的使用超标情况。</w:t>
            </w:r>
          </w:p>
        </w:tc>
      </w:tr>
      <w:tr w:rsidR="00E2114F" w14:paraId="47CD5694" w14:textId="77777777" w:rsidTr="009C7F53">
        <w:trPr>
          <w:trHeight w:val="1823"/>
        </w:trPr>
        <w:tc>
          <w:tcPr>
            <w:tcW w:w="1016" w:type="dxa"/>
            <w:vAlign w:val="center"/>
          </w:tcPr>
          <w:p w14:paraId="3C09196D"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44212D22"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（26）特病单议病例预标识服务：通过费用分析对费用超常规，住院天数超常规等特殊病例进行人工打标识的功能，进行提前储备，形成特病单议病例库，方便后续走特病单议申请流程。</w:t>
            </w:r>
          </w:p>
        </w:tc>
      </w:tr>
      <w:tr w:rsidR="00E2114F" w14:paraId="5AA09A60" w14:textId="77777777" w:rsidTr="009C7F53">
        <w:trPr>
          <w:trHeight w:val="1369"/>
        </w:trPr>
        <w:tc>
          <w:tcPr>
            <w:tcW w:w="1016" w:type="dxa"/>
            <w:vAlign w:val="center"/>
          </w:tcPr>
          <w:p w14:paraId="2B7F54D1"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4EE5A2BA"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27）基于医疗收费项目结构的超标费用预分析，数据支持从医疗收费项目角度对在院病例的床位费、诊察费、检查费、化验费、治疗费、手术费、护理费、一般诊疗费等医保结算清单有明确表示的项目进行费用发生值，结构的占比的展示分析。</w:t>
            </w:r>
          </w:p>
        </w:tc>
      </w:tr>
      <w:tr w:rsidR="00E2114F" w14:paraId="2CBE4782" w14:textId="77777777" w:rsidTr="009C7F53">
        <w:trPr>
          <w:trHeight w:val="916"/>
        </w:trPr>
        <w:tc>
          <w:tcPr>
            <w:tcW w:w="1016" w:type="dxa"/>
            <w:vAlign w:val="center"/>
          </w:tcPr>
          <w:p w14:paraId="5E4F48CA"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22A84726"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（28）数据支持在院病例的医疗收费项目结构对标对应的病组标准进行分析，明确在院病人的费用合理性。</w:t>
            </w:r>
          </w:p>
        </w:tc>
      </w:tr>
      <w:tr w:rsidR="00E2114F" w14:paraId="755D8BDC" w14:textId="77777777" w:rsidTr="009C7F53">
        <w:trPr>
          <w:trHeight w:val="916"/>
        </w:trPr>
        <w:tc>
          <w:tcPr>
            <w:tcW w:w="1016" w:type="dxa"/>
            <w:vAlign w:val="center"/>
          </w:tcPr>
          <w:p w14:paraId="1ACA23BD"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57C9D782"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（29）在院患者数据的实时更新，支持在院病人的结算数据实施更新。</w:t>
            </w:r>
          </w:p>
        </w:tc>
      </w:tr>
      <w:tr w:rsidR="00E2114F" w14:paraId="122BCF08" w14:textId="77777777" w:rsidTr="009C7F53">
        <w:trPr>
          <w:trHeight w:val="1369"/>
        </w:trPr>
        <w:tc>
          <w:tcPr>
            <w:tcW w:w="1016" w:type="dxa"/>
            <w:vAlign w:val="center"/>
          </w:tcPr>
          <w:p w14:paraId="20CB7DDF"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39A88CBC"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（30）基于在院病例的资源消耗预分析：数据支持对单个病例从住院天数、费用结构与对应病种和标准病种的角度进行数据分析，并进行可视化直观展示。</w:t>
            </w:r>
          </w:p>
        </w:tc>
      </w:tr>
      <w:tr w:rsidR="00E2114F" w14:paraId="37891A94" w14:textId="77777777" w:rsidTr="009C7F53">
        <w:trPr>
          <w:trHeight w:val="463"/>
        </w:trPr>
        <w:tc>
          <w:tcPr>
            <w:tcW w:w="1016" w:type="dxa"/>
            <w:vAlign w:val="center"/>
          </w:tcPr>
          <w:p w14:paraId="35B22B5E"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0F36773D"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事后审核数据服务</w:t>
            </w:r>
          </w:p>
        </w:tc>
      </w:tr>
      <w:tr w:rsidR="00E2114F" w14:paraId="605C2646" w14:textId="77777777" w:rsidTr="009C7F53">
        <w:trPr>
          <w:trHeight w:val="2276"/>
        </w:trPr>
        <w:tc>
          <w:tcPr>
            <w:tcW w:w="1016" w:type="dxa"/>
            <w:vAlign w:val="center"/>
          </w:tcPr>
          <w:p w14:paraId="21CD7B2E"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62FB5E43"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31）质控知识库的构建：通过自动构建的质控知识库模型进行数据质控，并对质控知识库进行长期维护。设计的质控规则需与局端适应，并能对质控规则进行基于医疗机构实际情况的规则补充与调整。支持基于医疗机构实际进行质控规则库的个性化设定。</w:t>
            </w:r>
          </w:p>
        </w:tc>
      </w:tr>
      <w:tr w:rsidR="00E2114F" w14:paraId="00A0DA8A" w14:textId="77777777" w:rsidTr="009C7F53">
        <w:trPr>
          <w:trHeight w:val="1823"/>
        </w:trPr>
        <w:tc>
          <w:tcPr>
            <w:tcW w:w="1016" w:type="dxa"/>
            <w:vAlign w:val="center"/>
          </w:tcPr>
          <w:p w14:paraId="4A3547E3"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79139DFD"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32）数据采集清洗服务：提供医保结算清单采集，清洗等服务，对医保结算清单进行质量控制，保证及时性，完整性，合理性和规范性。建立完善的数据清洗规则。对医保结算清单支持大容量数据的处理能力。支持清洗结果持久化。</w:t>
            </w:r>
          </w:p>
        </w:tc>
      </w:tr>
      <w:tr w:rsidR="00E2114F" w14:paraId="08A75604" w14:textId="77777777" w:rsidTr="009C7F53">
        <w:trPr>
          <w:trHeight w:val="1823"/>
        </w:trPr>
        <w:tc>
          <w:tcPr>
            <w:tcW w:w="1016" w:type="dxa"/>
            <w:vAlign w:val="center"/>
          </w:tcPr>
          <w:p w14:paraId="35EC9BB4"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511E0B61"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33）支持质控结果的前端数据可视化分析：数据支持在列表详情页明确展示质控结果信息。比如能针对病案编码中高编，多编、主诊与收费明细冲突、主诊与手术冲突、医院疾病谱变迁异常等重点问题，提示医疗机构进行相应的调整。</w:t>
            </w:r>
          </w:p>
        </w:tc>
      </w:tr>
      <w:tr w:rsidR="00E2114F" w14:paraId="798F5558" w14:textId="77777777" w:rsidTr="009C7F53">
        <w:trPr>
          <w:trHeight w:val="916"/>
        </w:trPr>
        <w:tc>
          <w:tcPr>
            <w:tcW w:w="1016" w:type="dxa"/>
            <w:vAlign w:val="center"/>
          </w:tcPr>
          <w:p w14:paraId="169B9FC3"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6B4CBA2E"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（34）支持医保结算清单的明细数据：基于质控结果提供医保结算清单明细用于辅助清单质量优化。</w:t>
            </w:r>
          </w:p>
        </w:tc>
      </w:tr>
      <w:tr w:rsidR="00E2114F" w14:paraId="6E7C4D17" w14:textId="77777777" w:rsidTr="009C7F53">
        <w:trPr>
          <w:trHeight w:val="1369"/>
        </w:trPr>
        <w:tc>
          <w:tcPr>
            <w:tcW w:w="1016" w:type="dxa"/>
            <w:vAlign w:val="center"/>
          </w:tcPr>
          <w:p w14:paraId="0AC9FAB2" w14:textId="77777777" w:rsidR="00E2114F" w:rsidRDefault="00E2114F" w:rsidP="009C7F53">
            <w:pPr>
              <w:spacing w:line="360" w:lineRule="auto"/>
              <w:jc w:val="center"/>
              <w:rPr>
                <w:rFonts w:ascii="仿宋" w:eastAsia="仿宋" w:hAnsi="仿宋" w:cs="仿宋" w:hint="eastAsia"/>
                <w:sz w:val="24"/>
              </w:rPr>
            </w:pPr>
          </w:p>
        </w:tc>
        <w:tc>
          <w:tcPr>
            <w:tcW w:w="8604" w:type="dxa"/>
            <w:vAlign w:val="center"/>
          </w:tcPr>
          <w:p w14:paraId="01A33D88"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（35）提供丰富查询功能数据支撑：从参保地，参保类型，时间段，病案号，诊断及编码，医生，患者个人信息等角度进行质控数据查询以及导出。</w:t>
            </w:r>
          </w:p>
        </w:tc>
      </w:tr>
      <w:tr w:rsidR="00E2114F" w14:paraId="477A2621" w14:textId="77777777" w:rsidTr="009C7F53">
        <w:trPr>
          <w:trHeight w:val="555"/>
        </w:trPr>
        <w:tc>
          <w:tcPr>
            <w:tcW w:w="1016" w:type="dxa"/>
            <w:vAlign w:val="center"/>
          </w:tcPr>
          <w:p w14:paraId="31A65E86" w14:textId="77777777" w:rsidR="00E2114F" w:rsidRDefault="00E2114F" w:rsidP="009C7F53">
            <w:pPr>
              <w:spacing w:line="360" w:lineRule="auto"/>
              <w:jc w:val="center"/>
              <w:rPr>
                <w:rFonts w:ascii="仿宋" w:eastAsia="仿宋" w:hAnsi="仿宋" w:cs="仿宋" w:hint="eastAsia"/>
                <w:sz w:val="24"/>
              </w:rPr>
            </w:pPr>
            <w:r>
              <w:rPr>
                <w:rFonts w:ascii="仿宋" w:eastAsia="仿宋" w:hAnsi="仿宋" w:cs="仿宋" w:hint="eastAsia"/>
                <w:color w:val="000000"/>
                <w:sz w:val="24"/>
              </w:rPr>
              <w:t>★</w:t>
            </w:r>
          </w:p>
        </w:tc>
        <w:tc>
          <w:tcPr>
            <w:tcW w:w="8604" w:type="dxa"/>
            <w:vAlign w:val="center"/>
          </w:tcPr>
          <w:p w14:paraId="568500BD" w14:textId="77777777" w:rsidR="00E2114F" w:rsidRDefault="00E2114F" w:rsidP="009C7F53">
            <w:pPr>
              <w:numPr>
                <w:ilvl w:val="0"/>
                <w:numId w:val="1"/>
              </w:numPr>
              <w:spacing w:line="360" w:lineRule="auto"/>
              <w:rPr>
                <w:rFonts w:ascii="仿宋" w:eastAsia="仿宋" w:hAnsi="仿宋" w:cs="仿宋" w:hint="eastAsia"/>
                <w:color w:val="000000"/>
                <w:sz w:val="24"/>
              </w:rPr>
            </w:pPr>
            <w:r>
              <w:rPr>
                <w:rFonts w:ascii="仿宋" w:eastAsia="仿宋" w:hAnsi="仿宋" w:cs="仿宋" w:hint="eastAsia"/>
                <w:color w:val="000000"/>
                <w:sz w:val="24"/>
              </w:rPr>
              <w:t>病种精细化管理数据分析：需对一病多科、一病多组进行交叉分析，对CMI贡献度的分析，病种结构分析，病种超标准住院日分析。</w:t>
            </w:r>
          </w:p>
        </w:tc>
      </w:tr>
      <w:tr w:rsidR="00E2114F" w14:paraId="3E7CE971" w14:textId="77777777" w:rsidTr="009C7F53">
        <w:trPr>
          <w:trHeight w:val="4088"/>
        </w:trPr>
        <w:tc>
          <w:tcPr>
            <w:tcW w:w="1016" w:type="dxa"/>
            <w:vAlign w:val="center"/>
          </w:tcPr>
          <w:p w14:paraId="3415A72A" w14:textId="77777777" w:rsidR="00E2114F" w:rsidRDefault="00E2114F" w:rsidP="009C7F53">
            <w:pPr>
              <w:spacing w:line="360" w:lineRule="auto"/>
              <w:jc w:val="center"/>
              <w:rPr>
                <w:rFonts w:ascii="仿宋" w:eastAsia="仿宋" w:hAnsi="仿宋" w:cs="仿宋" w:hint="eastAsia"/>
                <w:color w:val="000000"/>
                <w:sz w:val="24"/>
              </w:rPr>
            </w:pPr>
          </w:p>
        </w:tc>
        <w:tc>
          <w:tcPr>
            <w:tcW w:w="8604" w:type="dxa"/>
            <w:vAlign w:val="center"/>
          </w:tcPr>
          <w:p w14:paraId="3DBAD4AB" w14:textId="77777777" w:rsidR="00E2114F" w:rsidRDefault="00E2114F" w:rsidP="009C7F53">
            <w:pPr>
              <w:pStyle w:val="a9"/>
              <w:spacing w:line="360" w:lineRule="auto"/>
              <w:rPr>
                <w:rFonts w:ascii="仿宋" w:eastAsia="仿宋" w:hAnsi="仿宋" w:cs="仿宋" w:hint="eastAsia"/>
                <w:color w:val="000000"/>
                <w:sz w:val="24"/>
              </w:rPr>
            </w:pPr>
            <w:r>
              <w:rPr>
                <w:rFonts w:ascii="仿宋" w:eastAsia="仿宋" w:hAnsi="仿宋" w:cs="仿宋" w:hint="eastAsia"/>
                <w:color w:val="000000"/>
                <w:sz w:val="24"/>
              </w:rPr>
              <w:t>37、项目实施</w:t>
            </w:r>
          </w:p>
          <w:p w14:paraId="437D78DD" w14:textId="77777777" w:rsidR="00E2114F" w:rsidRDefault="00E2114F" w:rsidP="009C7F53">
            <w:pPr>
              <w:spacing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投标方具有合理的项目建设团队，项目经理必须经验丰富，保证项目的正常实施；系统在合同签订后通过验收前必须安排专业实施人员确保项目顺利交付。</w:t>
            </w:r>
          </w:p>
          <w:p w14:paraId="3F92A0D5" w14:textId="77777777" w:rsidR="00E2114F" w:rsidRDefault="00E2114F" w:rsidP="009C7F53">
            <w:pPr>
              <w:spacing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投标方提供完整的技术方案，并保证切实可行。</w:t>
            </w:r>
          </w:p>
          <w:p w14:paraId="7730F074" w14:textId="77777777" w:rsidR="00E2114F" w:rsidRDefault="00E2114F" w:rsidP="009C7F53">
            <w:pPr>
              <w:spacing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所有投标软硬件产品交货期不得超过60个工作日，交货、安装、实施及调试地点均为采购方用户所在地。</w:t>
            </w:r>
          </w:p>
          <w:p w14:paraId="2B85939E" w14:textId="77777777" w:rsidR="00E2114F" w:rsidRDefault="00E2114F" w:rsidP="009C7F53">
            <w:pPr>
              <w:spacing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本项目要求在合同签订之后60个工作日内实施完毕，进入试运行，试运行结束，正式切换上线。</w:t>
            </w:r>
          </w:p>
        </w:tc>
      </w:tr>
      <w:tr w:rsidR="00E2114F" w14:paraId="65D20E6D" w14:textId="77777777" w:rsidTr="009C7F53">
        <w:trPr>
          <w:trHeight w:val="3635"/>
        </w:trPr>
        <w:tc>
          <w:tcPr>
            <w:tcW w:w="1016" w:type="dxa"/>
            <w:vAlign w:val="center"/>
          </w:tcPr>
          <w:p w14:paraId="5914741C" w14:textId="77777777" w:rsidR="00E2114F" w:rsidRDefault="00E2114F" w:rsidP="009C7F53">
            <w:pPr>
              <w:spacing w:line="360" w:lineRule="auto"/>
              <w:jc w:val="center"/>
              <w:rPr>
                <w:rFonts w:ascii="仿宋" w:eastAsia="仿宋" w:hAnsi="仿宋" w:cs="仿宋" w:hint="eastAsia"/>
                <w:color w:val="000000"/>
                <w:sz w:val="24"/>
              </w:rPr>
            </w:pPr>
          </w:p>
        </w:tc>
        <w:tc>
          <w:tcPr>
            <w:tcW w:w="8604" w:type="dxa"/>
            <w:vAlign w:val="center"/>
          </w:tcPr>
          <w:p w14:paraId="00B72AC5" w14:textId="77777777" w:rsidR="00E2114F" w:rsidRDefault="00E2114F" w:rsidP="009C7F53">
            <w:pPr>
              <w:widowControl/>
              <w:spacing w:line="360" w:lineRule="auto"/>
              <w:rPr>
                <w:rFonts w:ascii="仿宋" w:eastAsia="仿宋" w:hAnsi="仿宋" w:cs="仿宋" w:hint="eastAsia"/>
                <w:color w:val="000000"/>
                <w:sz w:val="24"/>
              </w:rPr>
            </w:pPr>
            <w:r>
              <w:rPr>
                <w:rFonts w:ascii="仿宋" w:eastAsia="仿宋" w:hAnsi="仿宋" w:cs="仿宋" w:hint="eastAsia"/>
                <w:color w:val="000000"/>
                <w:sz w:val="24"/>
              </w:rPr>
              <w:t>38、售后服务</w:t>
            </w:r>
          </w:p>
          <w:p w14:paraId="0DF07DD1" w14:textId="77777777" w:rsidR="00E2114F" w:rsidRDefault="00E2114F" w:rsidP="009C7F53">
            <w:pPr>
              <w:spacing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投标人免费提供每周7天/每天24小时不间断的电话支持服务，解答采购方在系统使用、维护过程中遇到的问题，及时提出解决问题的建议和操作方法；在确认有必要的情况下投标方工作人员在得到通知后2小时内到达现场。</w:t>
            </w:r>
          </w:p>
          <w:p w14:paraId="5E1781E2" w14:textId="77777777" w:rsidR="00E2114F" w:rsidRDefault="00E2114F" w:rsidP="009C7F53">
            <w:pPr>
              <w:pStyle w:val="af3"/>
              <w:spacing w:line="360" w:lineRule="auto"/>
              <w:rPr>
                <w:rFonts w:ascii="仿宋" w:eastAsia="仿宋" w:hAnsi="仿宋" w:cs="仿宋" w:hint="eastAsia"/>
                <w:color w:val="000000"/>
                <w:sz w:val="24"/>
              </w:rPr>
            </w:pPr>
            <w:r>
              <w:rPr>
                <w:rFonts w:ascii="仿宋" w:eastAsia="仿宋" w:hAnsi="仿宋" w:cs="仿宋" w:hint="eastAsia"/>
                <w:color w:val="000000"/>
                <w:sz w:val="24"/>
              </w:rPr>
              <w:t>具体响应级别：30分钟电话响应；4小时提供解决方案；</w:t>
            </w:r>
          </w:p>
          <w:p w14:paraId="46DEA0F7"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培训要求：服务期内每季度对医院医保DIP情况进行分析及培训至少一次。</w:t>
            </w:r>
          </w:p>
        </w:tc>
      </w:tr>
      <w:tr w:rsidR="00E2114F" w14:paraId="3C675AEB" w14:textId="77777777" w:rsidTr="009C7F53">
        <w:trPr>
          <w:trHeight w:val="90"/>
        </w:trPr>
        <w:tc>
          <w:tcPr>
            <w:tcW w:w="1016" w:type="dxa"/>
            <w:vAlign w:val="center"/>
          </w:tcPr>
          <w:p w14:paraId="46805E9D" w14:textId="77777777" w:rsidR="00E2114F" w:rsidRDefault="00E2114F" w:rsidP="009C7F53">
            <w:pPr>
              <w:spacing w:line="360" w:lineRule="auto"/>
              <w:jc w:val="center"/>
              <w:rPr>
                <w:rFonts w:ascii="仿宋" w:eastAsia="仿宋" w:hAnsi="仿宋" w:cs="仿宋" w:hint="eastAsia"/>
                <w:color w:val="000000"/>
                <w:sz w:val="24"/>
              </w:rPr>
            </w:pPr>
            <w:r>
              <w:rPr>
                <w:rFonts w:ascii="仿宋" w:eastAsia="仿宋" w:hAnsi="仿宋" w:cs="仿宋" w:hint="eastAsia"/>
                <w:color w:val="000000"/>
                <w:sz w:val="24"/>
              </w:rPr>
              <w:t>★</w:t>
            </w:r>
          </w:p>
        </w:tc>
        <w:tc>
          <w:tcPr>
            <w:tcW w:w="8604" w:type="dxa"/>
            <w:vAlign w:val="center"/>
          </w:tcPr>
          <w:p w14:paraId="45BA7FE8" w14:textId="77777777" w:rsidR="00E2114F" w:rsidRDefault="00E2114F" w:rsidP="009C7F53">
            <w:pPr>
              <w:spacing w:line="360" w:lineRule="auto"/>
              <w:rPr>
                <w:rFonts w:ascii="仿宋" w:eastAsia="仿宋" w:hAnsi="仿宋" w:cs="仿宋" w:hint="eastAsia"/>
                <w:color w:val="000000"/>
                <w:sz w:val="24"/>
              </w:rPr>
            </w:pPr>
            <w:r>
              <w:rPr>
                <w:rFonts w:ascii="仿宋" w:eastAsia="仿宋" w:hAnsi="仿宋" w:cs="仿宋" w:hint="eastAsia"/>
                <w:color w:val="000000"/>
                <w:sz w:val="24"/>
              </w:rPr>
              <w:t>39、其他要求：服务期内需要与医院现有his及绩效管理系统免费对接。</w:t>
            </w:r>
          </w:p>
          <w:p w14:paraId="1EC9BD14" w14:textId="77777777" w:rsidR="00E2114F" w:rsidRDefault="00E2114F" w:rsidP="009C7F53">
            <w:pPr>
              <w:spacing w:line="360" w:lineRule="auto"/>
              <w:ind w:firstLineChars="200" w:firstLine="480"/>
              <w:rPr>
                <w:rFonts w:ascii="仿宋" w:eastAsia="仿宋" w:hAnsi="仿宋" w:cs="仿宋" w:hint="eastAsia"/>
                <w:color w:val="000000"/>
                <w:sz w:val="24"/>
              </w:rPr>
            </w:pPr>
            <w:r>
              <w:rPr>
                <w:rFonts w:ascii="仿宋" w:eastAsia="仿宋" w:hAnsi="仿宋" w:cs="仿宋" w:hint="eastAsia"/>
                <w:sz w:val="24"/>
              </w:rPr>
              <w:t>服务期限：3年服务期</w:t>
            </w:r>
          </w:p>
        </w:tc>
      </w:tr>
    </w:tbl>
    <w:p w14:paraId="3CD8A616" w14:textId="77777777" w:rsidR="00695E8B" w:rsidRDefault="00695E8B">
      <w:pPr>
        <w:rPr>
          <w:rFonts w:hint="eastAsia"/>
        </w:rPr>
      </w:pPr>
    </w:p>
    <w:sectPr w:rsidR="00695E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046B" w14:textId="77777777" w:rsidR="00D91E66" w:rsidRDefault="00D91E66" w:rsidP="00E2114F">
      <w:pPr>
        <w:rPr>
          <w:rFonts w:hint="eastAsia"/>
        </w:rPr>
      </w:pPr>
      <w:r>
        <w:separator/>
      </w:r>
    </w:p>
  </w:endnote>
  <w:endnote w:type="continuationSeparator" w:id="0">
    <w:p w14:paraId="287D815B" w14:textId="77777777" w:rsidR="00D91E66" w:rsidRDefault="00D91E66" w:rsidP="00E211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2BA6" w14:textId="77777777" w:rsidR="00D91E66" w:rsidRDefault="00D91E66" w:rsidP="00E2114F">
      <w:pPr>
        <w:rPr>
          <w:rFonts w:hint="eastAsia"/>
        </w:rPr>
      </w:pPr>
      <w:r>
        <w:separator/>
      </w:r>
    </w:p>
  </w:footnote>
  <w:footnote w:type="continuationSeparator" w:id="0">
    <w:p w14:paraId="25C39A43" w14:textId="77777777" w:rsidR="00D91E66" w:rsidRDefault="00D91E66" w:rsidP="00E2114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5E3800"/>
    <w:multiLevelType w:val="singleLevel"/>
    <w:tmpl w:val="DC5E3800"/>
    <w:lvl w:ilvl="0">
      <w:start w:val="36"/>
      <w:numFmt w:val="decimal"/>
      <w:suff w:val="nothing"/>
      <w:lvlText w:val="（%1）"/>
      <w:lvlJc w:val="left"/>
    </w:lvl>
  </w:abstractNum>
  <w:num w:numId="1" w16cid:durableId="175204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FC"/>
    <w:rsid w:val="000A71EF"/>
    <w:rsid w:val="00100771"/>
    <w:rsid w:val="00536445"/>
    <w:rsid w:val="006764FC"/>
    <w:rsid w:val="00695E8B"/>
    <w:rsid w:val="00D91E66"/>
    <w:rsid w:val="00E2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A30FAF-F489-42C6-A966-FF7F31C5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14F"/>
    <w:pPr>
      <w:widowControl w:val="0"/>
      <w:spacing w:after="0" w:line="240" w:lineRule="auto"/>
      <w:jc w:val="both"/>
    </w:pPr>
    <w:rPr>
      <w:sz w:val="21"/>
      <w14:ligatures w14:val="none"/>
    </w:rPr>
  </w:style>
  <w:style w:type="paragraph" w:styleId="1">
    <w:name w:val="heading 1"/>
    <w:basedOn w:val="a"/>
    <w:next w:val="a"/>
    <w:link w:val="10"/>
    <w:uiPriority w:val="9"/>
    <w:qFormat/>
    <w:rsid w:val="006764F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764F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764F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764F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764F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764F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764F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4F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764F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4F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764F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764F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764FC"/>
    <w:rPr>
      <w:rFonts w:cstheme="majorBidi"/>
      <w:color w:val="0F4761" w:themeColor="accent1" w:themeShade="BF"/>
      <w:sz w:val="28"/>
      <w:szCs w:val="28"/>
    </w:rPr>
  </w:style>
  <w:style w:type="character" w:customStyle="1" w:styleId="50">
    <w:name w:val="标题 5 字符"/>
    <w:basedOn w:val="a0"/>
    <w:link w:val="5"/>
    <w:uiPriority w:val="9"/>
    <w:semiHidden/>
    <w:rsid w:val="006764FC"/>
    <w:rPr>
      <w:rFonts w:cstheme="majorBidi"/>
      <w:color w:val="0F4761" w:themeColor="accent1" w:themeShade="BF"/>
      <w:sz w:val="24"/>
    </w:rPr>
  </w:style>
  <w:style w:type="character" w:customStyle="1" w:styleId="60">
    <w:name w:val="标题 6 字符"/>
    <w:basedOn w:val="a0"/>
    <w:link w:val="6"/>
    <w:uiPriority w:val="9"/>
    <w:semiHidden/>
    <w:rsid w:val="006764FC"/>
    <w:rPr>
      <w:rFonts w:cstheme="majorBidi"/>
      <w:b/>
      <w:bCs/>
      <w:color w:val="0F4761" w:themeColor="accent1" w:themeShade="BF"/>
    </w:rPr>
  </w:style>
  <w:style w:type="character" w:customStyle="1" w:styleId="70">
    <w:name w:val="标题 7 字符"/>
    <w:basedOn w:val="a0"/>
    <w:link w:val="7"/>
    <w:uiPriority w:val="9"/>
    <w:semiHidden/>
    <w:rsid w:val="006764FC"/>
    <w:rPr>
      <w:rFonts w:cstheme="majorBidi"/>
      <w:b/>
      <w:bCs/>
      <w:color w:val="595959" w:themeColor="text1" w:themeTint="A6"/>
    </w:rPr>
  </w:style>
  <w:style w:type="character" w:customStyle="1" w:styleId="80">
    <w:name w:val="标题 8 字符"/>
    <w:basedOn w:val="a0"/>
    <w:link w:val="8"/>
    <w:uiPriority w:val="9"/>
    <w:semiHidden/>
    <w:rsid w:val="006764FC"/>
    <w:rPr>
      <w:rFonts w:cstheme="majorBidi"/>
      <w:color w:val="595959" w:themeColor="text1" w:themeTint="A6"/>
    </w:rPr>
  </w:style>
  <w:style w:type="character" w:customStyle="1" w:styleId="90">
    <w:name w:val="标题 9 字符"/>
    <w:basedOn w:val="a0"/>
    <w:link w:val="9"/>
    <w:uiPriority w:val="9"/>
    <w:semiHidden/>
    <w:rsid w:val="006764FC"/>
    <w:rPr>
      <w:rFonts w:eastAsiaTheme="majorEastAsia" w:cstheme="majorBidi"/>
      <w:color w:val="595959" w:themeColor="text1" w:themeTint="A6"/>
    </w:rPr>
  </w:style>
  <w:style w:type="paragraph" w:styleId="a3">
    <w:name w:val="Title"/>
    <w:basedOn w:val="a"/>
    <w:next w:val="a"/>
    <w:link w:val="a4"/>
    <w:uiPriority w:val="10"/>
    <w:qFormat/>
    <w:rsid w:val="006764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4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4FC"/>
    <w:pPr>
      <w:spacing w:before="160"/>
      <w:jc w:val="center"/>
    </w:pPr>
    <w:rPr>
      <w:i/>
      <w:iCs/>
      <w:color w:val="404040" w:themeColor="text1" w:themeTint="BF"/>
    </w:rPr>
  </w:style>
  <w:style w:type="character" w:customStyle="1" w:styleId="a8">
    <w:name w:val="引用 字符"/>
    <w:basedOn w:val="a0"/>
    <w:link w:val="a7"/>
    <w:uiPriority w:val="29"/>
    <w:rsid w:val="006764FC"/>
    <w:rPr>
      <w:i/>
      <w:iCs/>
      <w:color w:val="404040" w:themeColor="text1" w:themeTint="BF"/>
    </w:rPr>
  </w:style>
  <w:style w:type="paragraph" w:styleId="a9">
    <w:name w:val="List Paragraph"/>
    <w:basedOn w:val="a"/>
    <w:uiPriority w:val="34"/>
    <w:qFormat/>
    <w:rsid w:val="006764FC"/>
    <w:pPr>
      <w:ind w:left="720"/>
      <w:contextualSpacing/>
    </w:pPr>
  </w:style>
  <w:style w:type="character" w:styleId="aa">
    <w:name w:val="Intense Emphasis"/>
    <w:basedOn w:val="a0"/>
    <w:uiPriority w:val="21"/>
    <w:qFormat/>
    <w:rsid w:val="006764FC"/>
    <w:rPr>
      <w:i/>
      <w:iCs/>
      <w:color w:val="0F4761" w:themeColor="accent1" w:themeShade="BF"/>
    </w:rPr>
  </w:style>
  <w:style w:type="paragraph" w:styleId="ab">
    <w:name w:val="Intense Quote"/>
    <w:basedOn w:val="a"/>
    <w:next w:val="a"/>
    <w:link w:val="ac"/>
    <w:uiPriority w:val="30"/>
    <w:qFormat/>
    <w:rsid w:val="00676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764FC"/>
    <w:rPr>
      <w:i/>
      <w:iCs/>
      <w:color w:val="0F4761" w:themeColor="accent1" w:themeShade="BF"/>
    </w:rPr>
  </w:style>
  <w:style w:type="character" w:styleId="ad">
    <w:name w:val="Intense Reference"/>
    <w:basedOn w:val="a0"/>
    <w:uiPriority w:val="32"/>
    <w:qFormat/>
    <w:rsid w:val="006764FC"/>
    <w:rPr>
      <w:b/>
      <w:bCs/>
      <w:smallCaps/>
      <w:color w:val="0F4761" w:themeColor="accent1" w:themeShade="BF"/>
      <w:spacing w:val="5"/>
    </w:rPr>
  </w:style>
  <w:style w:type="paragraph" w:styleId="ae">
    <w:name w:val="header"/>
    <w:basedOn w:val="a"/>
    <w:link w:val="af"/>
    <w:uiPriority w:val="99"/>
    <w:unhideWhenUsed/>
    <w:rsid w:val="00E2114F"/>
    <w:pPr>
      <w:tabs>
        <w:tab w:val="center" w:pos="4153"/>
        <w:tab w:val="right" w:pos="8306"/>
      </w:tabs>
      <w:snapToGrid w:val="0"/>
      <w:jc w:val="center"/>
    </w:pPr>
    <w:rPr>
      <w:sz w:val="18"/>
      <w:szCs w:val="18"/>
    </w:rPr>
  </w:style>
  <w:style w:type="character" w:customStyle="1" w:styleId="af">
    <w:name w:val="页眉 字符"/>
    <w:basedOn w:val="a0"/>
    <w:link w:val="ae"/>
    <w:uiPriority w:val="99"/>
    <w:rsid w:val="00E2114F"/>
    <w:rPr>
      <w:sz w:val="18"/>
      <w:szCs w:val="18"/>
    </w:rPr>
  </w:style>
  <w:style w:type="paragraph" w:styleId="af0">
    <w:name w:val="footer"/>
    <w:basedOn w:val="a"/>
    <w:link w:val="af1"/>
    <w:uiPriority w:val="99"/>
    <w:unhideWhenUsed/>
    <w:rsid w:val="00E2114F"/>
    <w:pPr>
      <w:tabs>
        <w:tab w:val="center" w:pos="4153"/>
        <w:tab w:val="right" w:pos="8306"/>
      </w:tabs>
      <w:snapToGrid w:val="0"/>
    </w:pPr>
    <w:rPr>
      <w:sz w:val="18"/>
      <w:szCs w:val="18"/>
    </w:rPr>
  </w:style>
  <w:style w:type="character" w:customStyle="1" w:styleId="af1">
    <w:name w:val="页脚 字符"/>
    <w:basedOn w:val="a0"/>
    <w:link w:val="af0"/>
    <w:uiPriority w:val="99"/>
    <w:rsid w:val="00E2114F"/>
    <w:rPr>
      <w:sz w:val="18"/>
      <w:szCs w:val="18"/>
    </w:rPr>
  </w:style>
  <w:style w:type="paragraph" w:styleId="af2">
    <w:name w:val="Normal (Web)"/>
    <w:basedOn w:val="a"/>
    <w:unhideWhenUsed/>
    <w:qFormat/>
    <w:rsid w:val="00E2114F"/>
    <w:pPr>
      <w:spacing w:before="100" w:beforeAutospacing="1" w:after="100" w:afterAutospacing="1"/>
      <w:jc w:val="left"/>
    </w:pPr>
    <w:rPr>
      <w:rFonts w:cs="Times New Roman"/>
      <w:kern w:val="0"/>
      <w:sz w:val="24"/>
    </w:rPr>
  </w:style>
  <w:style w:type="paragraph" w:styleId="af3">
    <w:name w:val="annotation text"/>
    <w:basedOn w:val="a"/>
    <w:link w:val="af4"/>
    <w:uiPriority w:val="99"/>
    <w:qFormat/>
    <w:rsid w:val="00E2114F"/>
    <w:rPr>
      <w:rFonts w:ascii="Times New Roman" w:hAnsi="Times New Roman" w:cs="Times New Roman"/>
    </w:rPr>
  </w:style>
  <w:style w:type="character" w:customStyle="1" w:styleId="af4">
    <w:name w:val="批注文字 字符"/>
    <w:basedOn w:val="a0"/>
    <w:link w:val="af3"/>
    <w:uiPriority w:val="99"/>
    <w:rsid w:val="00E2114F"/>
    <w:rPr>
      <w:rFonts w:ascii="Times New Roman" w:hAnsi="Times New Roman" w:cs="Times New Roman"/>
      <w:sz w:val="21"/>
      <w14:ligatures w14:val="none"/>
    </w:rPr>
  </w:style>
  <w:style w:type="table" w:styleId="af5">
    <w:name w:val="Table Grid"/>
    <w:basedOn w:val="a1"/>
    <w:qFormat/>
    <w:rsid w:val="00E2114F"/>
    <w:pPr>
      <w:widowControl w:val="0"/>
      <w:spacing w:after="0" w:line="240" w:lineRule="auto"/>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1902</Characters>
  <Application>Microsoft Office Word</Application>
  <DocSecurity>0</DocSecurity>
  <Lines>105</Lines>
  <Paragraphs>87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羡林 约瑟夫</dc:creator>
  <cp:keywords/>
  <dc:description/>
  <cp:lastModifiedBy>羡林 约瑟夫</cp:lastModifiedBy>
  <cp:revision>2</cp:revision>
  <dcterms:created xsi:type="dcterms:W3CDTF">2025-12-02T10:37:00Z</dcterms:created>
  <dcterms:modified xsi:type="dcterms:W3CDTF">2025-12-02T10:37:00Z</dcterms:modified>
</cp:coreProperties>
</file>